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</w:p>
    <w:tbl>
      <w:tblPr>
        <w:tblW w:w="15540" w:type="dxa"/>
        <w:tblInd w:w="15" w:type="dxa"/>
        <w:tblLayout w:type="fixed"/>
        <w:tblCellMar>
          <w:left w:w="15" w:type="dxa"/>
          <w:top w:w="0" w:type="dxa"/>
          <w:right w:w="15" w:type="dxa"/>
          <w:bottom w:w="0" w:type="dxa"/>
        </w:tblCellMar>
        <w:tblLook w:val="04A0" w:firstRow="1" w:lastRow="0" w:firstColumn="1" w:lastColumn="0" w:noHBand="0" w:noVBand="1"/>
      </w:tblPr>
      <w:tblGrid>
        <w:gridCol w:w="15540"/>
      </w:tblGrid>
      <w:tr>
        <w:trPr/>
        <w:tc>
          <w:tcPr>
            <w:tcW w:w="15540" w:type="dxa"/>
            <w:vAlign w:val="center"/>
            <w:textDirection w:val="lrTb"/>
            <w:noWrap w:val="false"/>
          </w:tcPr>
          <w:p>
            <w:pPr>
              <w:pStyle w:val="599"/>
              <w:ind w:left="75" w:right="75"/>
              <w:jc w:val="center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График проверки знаний на 06 октября 2026.</w:t>
            </w:r>
            <w:r/>
          </w:p>
          <w:p>
            <w:pPr>
              <w:pStyle w:val="599"/>
              <w:ind w:left="75" w:right="75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09:00 – 11:00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Mar>
              <w:left w:w="0" w:type="dxa"/>
              <w:right w:w="0" w:type="dxa"/>
            </w:tcMar>
            <w:tcW w:w="15540" w:type="dxa"/>
            <w:textDirection w:val="lrTb"/>
            <w:noWrap w:val="false"/>
          </w:tcPr>
          <w:tbl>
            <w:tblPr>
              <w:tblW w:w="15360" w:type="dxa"/>
              <w:tblInd w:w="1" w:type="dxa"/>
              <w:tblLayout w:type="fixed"/>
              <w:tblCellMar>
                <w:left w:w="0" w:type="dxa"/>
                <w:top w:w="0" w:type="dxa"/>
                <w:right w:w="0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>
              <w:trPr>
                <w:trHeight w:val="1095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п/п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8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Наименование организации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0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Фамилия, имя, отчество 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4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Занимаемая должность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2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Область 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14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Время </w:t>
                  </w:r>
                  <w:r/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1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“ИСТОК”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Галсанов Шухэртэ Баирович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Инженер-электрик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2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МБУ ГО “Город Чита” “Банно-прачечный трест”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Рудаков Алексей Владимирович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Машинист кочегар котельной на твердом топливе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3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УСД В ЗАБАЙКАЛЬСКОМ КРАЕ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Дунаева Анжела Игоревна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Администратор Читинского районного суда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4.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4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МБУ ГО “Город Чита” “Банно-прачечный трест”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Райник Иван Сергеевич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Машинист кочегар котельной на твердом топливе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5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УСД В ЗАБАЙКАЛЬСКОМ КРАЕ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Ахпаш Ольга Павловна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Администратор Улётовского районного суда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6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МБУ ГО “Город Чита” “Банно-прачечный трест”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Рудаков Алексей Владимирович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Машинист кочегар котельной на твердом топливе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2.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7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УСД В ЗАБАЙКАЛЬСКОМ КРАЕ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Ахпаш Ольга Павловна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Администратор Улетовского районного суда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4.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8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МБУ ГО “Город Чита” “Банно-прачечный трест”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Райник Иван Сергеевич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Машинист кочегар котельной на твердом топливе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2.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9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УСД В ЗАБАЙКАЛЬСКОМ КРАЕ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Харитонов Олег Александрович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Администратор Ононского районного суда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10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АО “ПРИИСК УСТЬ-КАРА”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Конев Николай Борисович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энергетик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11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УСД В ЗАБАЙКАЛЬСКОМ КРАЕ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Филонич Анна Владимировна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Администратор Шилкинского районного суда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12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УСД В ЗАБАЙКАЛЬСКОМ КРАЕ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Лоншакова Юлия Андреевна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Администратор чернышевского районного суда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4.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13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МБУ ГО “Город Чита” “Банно-прачечный трест”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Кибирев Владимир Петрович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Машинист кочегар котельной на твердом топливе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09:15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14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УСД В ЗАБАЙКАЛЬСКОМ КРАЕ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Леонтьев Юрий Петрович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Администратор Красночикойского районного суда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09:15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15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УСД В ЗАБАЙКАЛЬСКОМ КРАЕ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Лоншакова Юлия Андреевна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Администратор Чернышевского районного суда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09:15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16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УСД В ЗАБАЙКАЛЬСКОМ КРАЕ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Харитонов Олег Александрович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Администратор Ононского районного суда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09:15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17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УСД В ЗАБАЙКАЛЬСКОМ КРАЕ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Филонич Анна Владимировна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Администратор Шилкинского районного суда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09:15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18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УСД В ЗАБАЙКАЛЬСКОМ КРАЕ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Дунаева Анжела Игоревна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Администратор читинского районного суда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09:15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19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АО “ПРИИСК УСТЬ-КАРА”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Бедный Василий Васильевич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главного энергетика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09:15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20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“БЕКАС”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Дубинин Тимофей Максимович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Электрослесарь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3.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09:15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21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МБУ ГО “Город Чита” “Банно-прачечный трест”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Кибирев Владимир Петрович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Машинист кочегар котельной на твердом топливе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2.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22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УСД В ЗАБАЙКАЛЬСКОМ КРАЕ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Леонтьев Юрий Петрович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Администратор Красночикойского районного суда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4.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23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“Стройтек”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Юсенков Евгений Олегович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Электрогазосварщик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0. 2.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24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“БЛАГОУСТРОЙСТВО ЗАПСИБА”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Горев Юрий Борисович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энергетик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25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Специализированный застройщик “Ракета”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Махинов Андрей Анатольевич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Электрослесарь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0. 2.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26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ПАО “ТГК-14” филиал “Читинская генерация”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Михалёв Александр Васильевич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котельной СХТ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27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“ЗАБАЙКАЛЭНЕРГОСЕРВИС”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Бабарень Андрей Михайлович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СП6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28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“СИГНАЛЬНЫЕ СИСТЕМЫ”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Сергеенко Андрей Анатольевич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Монтажник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ЭС. 0. 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29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“СИГНАЛЬНЫЕ СИСТЕМЫ”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Голомидов Александр Владимирович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Монтажник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ЭС. 0. 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30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“СИГНАЛЬНЫЕ СИСТЕМЫ”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Соснин Федор Данилович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Монтажник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ЭС. 0. 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31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“СИГНАЛЬНЫЕ СИСТЕМЫ”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Трофимов Владимир Юрьевич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Монтажник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ЭС. 0. 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32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“СИГНАЛЬНЫЕ СИСТЕМЫ”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Простакишин Олег Юрьевич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Монтажник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ЭС. 0. 3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33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“СИГНАЛЬНЫЕ СИСТЕМЫ”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Кузьмин Андрей Андреевич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Монтажник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ЭС. 0. 3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09:45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34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“СИГНАЛЬНЫЕ СИСТЕМЫ”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Романченко Алексей Викторович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Монтажник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ЭС. 0. 3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09:45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35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“СИГНАЛЬНЫЕ СИСТЕМЫ”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Синицын Евгений Геннадьевич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Монтажник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ЭС. 0. 3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09:45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36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“СИГНАЛЬНЫЕ СИСТЕМЫ”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Филиппов Алексей Владимирович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Монтажник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ЭС. 0. 3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09:45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37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“СИГНАЛЬНЫЕ СИСТЕМЫ”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Телешев Дмитрий Иннокентьевич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Монтажник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ЭС. 0. 3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09:45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38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“ВОСТОКГЕОЛОГИЯ”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Васильченко Александр Алексеевич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электромонтажного участка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09:45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39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“ВОСТОКГЕОЛОГИЯ”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Савельев Александр Николаевич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менеджер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09:45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40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ГБУЗ “ЗККФПЦ”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Чужавский Андрей Анатольевич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Электрослесарь оперативного персонала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4.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09:45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41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“БИТ-СЕРВИС”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Малинин Владимир Сергеевич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инженер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4.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42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ГУЗ “ДКМЦ Г. ЧИТЫ”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Попов Виталий Николаевич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Слесарь-сантехник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43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“МОНБЛАН”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Иванов Александр Владимирович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Слесарь-сантехник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44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“МОНБЛАН”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Туров Николай Васильевич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Слесарь-сантехник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45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Специализированный застройщик “Атолл”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Стариков Максим Борисович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энергетик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46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“ПРОМЭНЕРГОУЧЕТ”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Ахмедов Расул Сардорович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Контролер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ЭС. 1. 3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47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Восточно-Сибирское железнодорожное агентство структурное подразделение Восточно-Сибирского филиала АО “ФСК”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Газинская Екатерина Александровна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Специалист по охране труда 1 категории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4.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48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ПАО “ТГК-14” филиал “Читинская генерация”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Богаченко Андрей Николаевич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4-го района ЭТС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49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ПАО “ТГК-14” филиал “Читинская генерация”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Филимонов Александр Иванович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начальника 4 района ЭТС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50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АО “ВИСМУТ”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Архипов Роман Юрьевич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Электромеханик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51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АО “ВИСМУТ”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Прудников Владимир Михайлович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начальника отдела ТВС и 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52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АО “ВИСМУТ”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Архипов Роман Юрьевич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Электромеханик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53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“Завод КПД - 1”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Лапухов Станислав Анатольевич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Мастер по обслуживанию котельных установок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54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“УК МОНОЛИТ”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Гранкина Ирина Андреевна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Специалист по связям с общественностью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10:15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55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УПРАВЛЯЮЩАЯ КОМПАНИЯ “ЭНЕРГОЖИЛСТРОЙ”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Наумов Юрий Геннадьевич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Технический директор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10:15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56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“УК МОНОЛИТ”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Кириенко Екатерина Сергеевна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Ведущий инженер ПТО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10:15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57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“СПК БОРЗЯ”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Мальцев Сергей Владимирович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директора - руководитель Улетовского участка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10:15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58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УК “ЧИТИНКА”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Помномарев Максим Михайлович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 по эксплуатации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10:15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59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УК “ЧИТИНКА”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Наумов Юрий Геннадьевич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Технический директор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10:15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60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“Хороший город”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Юровников Алексей Владимирович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Инженер-энергетик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10:15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61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“МОНБЛАН”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Козлов Владислав Сергеевич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Слесарь-сантехник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62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“МОНБЛАН”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Вологдин Владимир Викторович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Электромеханик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63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“САХАЦИНК”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Алексеев Андрей Геннадьевич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Электромеханик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64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Филиал “Читинский” АО “Московское протезно-ортопедическое предприятие”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Гацке Анатолий Августович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Слесарь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65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Филиал “Читинский” АО “Московское протезно-ортопедическое предприятие”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Белоусов Виктор Борисович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отдела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66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Забайкальский филиал ФГБУ “Центр оценки безопасности и качества продукции агропромышленного комплекса”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Осипов Виталий Николаевич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Системный администратор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0. 2. ОБ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67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“ГРК “БЫСТРИНСКОЕ”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Кыштымов Николай Алексеевич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службы тепловодоснабжения и водоочистки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</w:tc>
            </w:tr>
          </w:tbl>
          <w:p>
            <w:pPr>
              <w:pStyle w:val="599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</w:tc>
      </w:tr>
    </w:tbl>
    <w:p>
      <w:r/>
      <w:r/>
    </w:p>
    <w:p>
      <w:pPr>
        <w:spacing w:after="0" w:line="240" w:lineRule="auto"/>
      </w:pPr>
      <w:r/>
      <w:bookmarkStart w:id="0" w:name="undefined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Место проведения проверки знаний: г. Чита, ул. Тимирязева, д. 27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каб</w:t>
      </w:r>
      <w:r>
        <w:rPr>
          <w:rFonts w:ascii="Times New Roman" w:hAnsi="Times New Roman" w:cs="Times New Roman"/>
          <w:sz w:val="28"/>
          <w:szCs w:val="28"/>
        </w:rPr>
        <w:t xml:space="preserve">. № 11 (учебный класс).</w:t>
      </w:r>
      <w:r/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Контактная информация по тел.: 99-56-00 (доб.154) – старший государственный инспектор Ананьина О.В. </w:t>
      </w:r>
      <w:r/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себе иметь паспорт РФ и удостоверение</w:t>
      </w:r>
      <w:r>
        <w:rPr>
          <w:rFonts w:ascii="Times New Roman" w:hAnsi="Times New Roman" w:cs="Times New Roman"/>
        </w:rPr>
      </w:r>
      <w:r/>
    </w:p>
    <w:p>
      <w:pPr>
        <w:ind w:firstLine="709"/>
        <w:rPr>
          <w:rFonts w:ascii="Times New Roman" w:hAnsi="Times New Roman" w:cs="Times New Roman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sectPr>
      <w:footnotePr/>
      <w:endnotePr/>
      <w:type w:val="nextPage"/>
      <w:pgSz w:w="16838" w:h="11906" w:orient="landscape"/>
      <w:pgMar w:top="283" w:right="1133" w:bottom="1133" w:left="1133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CJK SC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Liberation Sans">
    <w:panose1 w:val="020B0604020202020204"/>
  </w:font>
  <w:font w:name="Noto Serif CJK SC">
    <w:panose1 w:val="020B0502040504020204"/>
  </w:font>
  <w:font w:name="Lohit Devanagari">
    <w:panose1 w:val="02000000000000000000"/>
  </w:font>
  <w:font w:name="Liberation Serif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599"/>
    <w:next w:val="59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599"/>
    <w:next w:val="59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599"/>
    <w:next w:val="59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599"/>
    <w:next w:val="59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599"/>
    <w:next w:val="59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599"/>
    <w:next w:val="59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599"/>
    <w:next w:val="59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599"/>
    <w:next w:val="59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599"/>
    <w:next w:val="59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59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599"/>
    <w:next w:val="59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599"/>
    <w:next w:val="59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599"/>
    <w:next w:val="59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599"/>
    <w:next w:val="59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59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59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character" w:styleId="47">
    <w:name w:val="Caption Char"/>
    <w:basedOn w:val="604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ebe03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43c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dba" w:themeFill="accent1" w:themeFillTint="34"/>
    </w:tblPr>
    <w:tblStylePr w:type="band1Horz">
      <w:tcPr>
        <w:shd w:val="clear" w:color="ffffff" w:themeColor="accent1" w:themeTint="75" w:fill="79fb64" w:themeFill="accent1" w:themeFillTint="75"/>
      </w:tcPr>
    </w:tblStylePr>
    <w:tblStylePr w:type="band1Vert">
      <w:tcPr>
        <w:shd w:val="clear" w:color="ffffff" w:themeColor="accent1" w:themeTint="75" w:fill="79fb6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ce7fd" w:themeFill="accent2" w:themeFillTint="32"/>
    </w:tblPr>
    <w:tblStylePr w:type="band1Horz">
      <w:tcPr>
        <w:shd w:val="clear" w:color="ffffff" w:themeColor="accent2" w:themeTint="75" w:fill="64c8fb" w:themeFill="accent2" w:themeFillTint="75"/>
      </w:tcPr>
    </w:tblStylePr>
    <w:tblStylePr w:type="band1Vert">
      <w:tcPr>
        <w:shd w:val="clear" w:color="ffffff" w:themeColor="accent2" w:themeTint="75" w:fill="64c8fb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dd2ba" w:themeFill="accent3" w:themeFillTint="34"/>
    </w:tblPr>
    <w:tblStylePr w:type="band1Horz">
      <w:tcPr>
        <w:shd w:val="clear" w:color="ffffff" w:themeColor="accent3" w:themeTint="75" w:fill="fb9964" w:themeFill="accent3" w:themeFillTint="75"/>
      </w:tcPr>
    </w:tblStylePr>
    <w:tblStylePr w:type="band1Vert">
      <w:tcPr>
        <w:shd w:val="clear" w:color="ffffff" w:themeColor="accent3" w:themeTint="75" w:fill="fb9964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3bafd" w:themeFill="accent4" w:themeFillTint="34"/>
    </w:tblPr>
    <w:tblStylePr w:type="band1Horz">
      <w:tcPr>
        <w:shd w:val="clear" w:color="ffffff" w:themeColor="accent4" w:themeTint="75" w:fill="e464fb" w:themeFill="accent4" w:themeFillTint="75"/>
      </w:tcPr>
    </w:tblStylePr>
    <w:tblStylePr w:type="band1Vert">
      <w:tcPr>
        <w:shd w:val="clear" w:color="ffffff" w:themeColor="accent4" w:themeTint="75" w:fill="e464fb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efbf" w:themeFill="accent5" w:themeFillTint="34"/>
    </w:tblPr>
    <w:tblStylePr w:type="band1Horz">
      <w:tcPr>
        <w:shd w:val="clear" w:color="ffffff" w:themeColor="accent5" w:themeTint="75" w:fill="ffdb71" w:themeFill="accent5" w:themeFillTint="75"/>
      </w:tcPr>
    </w:tblStylePr>
    <w:tblStylePr w:type="band1Vert">
      <w:tcPr>
        <w:shd w:val="clear" w:color="ffffff" w:themeColor="accent5" w:themeTint="75" w:fill="ffdb71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7cccc" w:themeFill="accent6" w:themeFillTint="34"/>
    </w:tblPr>
    <w:tblStylePr w:type="band1Horz">
      <w:tcPr>
        <w:shd w:val="clear" w:color="ffffff" w:themeColor="accent6" w:themeTint="75" w:fill="ee8f8f" w:themeFill="accent6" w:themeFillTint="75"/>
      </w:tcPr>
    </w:tblStylePr>
    <w:tblStylePr w:type="band1Vert">
      <w:tcPr>
        <w:shd w:val="clear" w:color="ffffff" w:themeColor="accent6" w:themeTint="75" w:fill="ee8f8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ebf04" w:themeColor="accent1" w:themeTint="80" w:themeShade="95"/>
      </w:rPr>
    </w:tblStylePr>
    <w:tblStylePr w:type="firstRow">
      <w:rPr>
        <w:b/>
        <w:color w:val="1ebf0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ebf04" w:themeColor="accent1" w:themeTint="80" w:themeShade="95"/>
      </w:rPr>
    </w:tblStylePr>
    <w:tblStylePr w:type="lastRow">
      <w:rPr>
        <w:b/>
        <w:color w:val="1ebf0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e2201" w:themeColor="accent3" w:themeTint="FE" w:themeShade="95"/>
      </w:rPr>
    </w:tblStylePr>
    <w:tblStylePr w:type="firstRow">
      <w:rPr>
        <w:b/>
        <w:color w:val="5e220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e2201" w:themeColor="accent3" w:themeTint="FE" w:themeShade="95"/>
      </w:rPr>
    </w:tblStylePr>
    <w:tblStylePr w:type="lastRow">
      <w:rPr>
        <w:b/>
        <w:color w:val="5e2201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ebf04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1ebf04" w:themeColor="accent1" w:themeTint="80" w:themeShade="95"/>
        <w:sz w:val="22"/>
      </w:rPr>
    </w:tblStylePr>
    <w:tblStylePr w:type="firstCol">
      <w:rPr>
        <w:rFonts w:ascii="Arial" w:hAnsi="Arial"/>
        <w:i/>
        <w:color w:val="1ebf0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ebf0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e2201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5e2201" w:themeColor="accent3" w:themeTint="FE" w:themeShade="95"/>
        <w:sz w:val="22"/>
      </w:rPr>
    </w:tblStylePr>
    <w:tblStylePr w:type="firstCol">
      <w:rPr>
        <w:rFonts w:ascii="Arial" w:hAnsi="Arial"/>
        <w:i/>
        <w:color w:val="5e2201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e2201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74570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745700" w:themeColor="accent5" w:themeShade="95"/>
        <w:sz w:val="22"/>
      </w:rPr>
    </w:tblStylePr>
    <w:tblStylePr w:type="firstCol">
      <w:rPr>
        <w:rFonts w:ascii="Arial" w:hAnsi="Arial"/>
        <w:i/>
        <w:color w:val="745700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745700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741111" w:themeColor="accent6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741111" w:themeColor="accent6" w:themeShade="95"/>
        <w:sz w:val="22"/>
      </w:rPr>
    </w:tblStylePr>
    <w:tblStylePr w:type="firstCol">
      <w:rPr>
        <w:rFonts w:ascii="Arial" w:hAnsi="Arial"/>
        <w:i/>
        <w:color w:val="741111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741111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fa7a35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ffd042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e96e6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blStylePr w:type="band1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6b8fb" w:themeFill="accent2" w:themeFillTint="97"/>
    </w:tblPr>
    <w:tblStylePr w:type="band1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36b8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a7a35" w:themeFill="accent3" w:themeFillTint="98"/>
    </w:tblPr>
    <w:tblStylePr w:type="band1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fa7a35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fa7a35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dc33fa" w:themeFill="accent4" w:themeFillTint="9A"/>
    </w:tblPr>
    <w:tblStylePr w:type="band1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dc33fa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042" w:themeFill="accent5" w:themeFillTint="9A"/>
    </w:tblPr>
    <w:tblStylePr w:type="band1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ffd04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ffd04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6e6e" w:themeFill="accent6" w:themeFillTint="98"/>
    </w:tblPr>
    <w:tblStylePr w:type="band1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e96e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e96e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e5e01" w:themeColor="accent1" w:themeShade="95"/>
      </w:rPr>
    </w:tblStylePr>
    <w:tblStylePr w:type="firstRow">
      <w:rPr>
        <w:b/>
        <w:color w:val="0e5e0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e01" w:themeColor="accent1" w:themeShade="95"/>
      </w:rPr>
    </w:tblStylePr>
    <w:tblStylePr w:type="lastRow">
      <w:rPr>
        <w:b/>
        <w:color w:val="0e5e0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ab3b04" w:themeColor="accent3" w:themeTint="98" w:themeShade="95"/>
      </w:rPr>
    </w:tblStylePr>
    <w:tblStylePr w:type="firstRow">
      <w:rPr>
        <w:b/>
        <w:color w:val="ab3b04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b3b04" w:themeColor="accent3" w:themeTint="98" w:themeShade="95"/>
      </w:rPr>
    </w:tblStylePr>
    <w:tblStylePr w:type="lastRow">
      <w:rPr>
        <w:b/>
        <w:color w:val="ab3b04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ba8700" w:themeColor="accent5" w:themeTint="9A" w:themeShade="95"/>
      </w:rPr>
    </w:tblStylePr>
    <w:tblStylePr w:type="firstRow">
      <w:rPr>
        <w:b/>
        <w:color w:val="ba870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a8700" w:themeColor="accent5" w:themeTint="9A" w:themeShade="95"/>
      </w:rPr>
    </w:tblStylePr>
    <w:tblStylePr w:type="lastRow">
      <w:rPr>
        <w:b/>
        <w:color w:val="ba870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ad1a1a" w:themeColor="accent6" w:themeTint="98" w:themeShade="95"/>
      </w:rPr>
    </w:tblStylePr>
    <w:tblStylePr w:type="firstRow">
      <w:rPr>
        <w:b/>
        <w:color w:val="ad1a1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d1a1a" w:themeColor="accent6" w:themeTint="98" w:themeShade="95"/>
      </w:rPr>
    </w:tblStylePr>
    <w:tblStylePr w:type="lastRow">
      <w:rPr>
        <w:b/>
        <w:color w:val="ad1a1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e5e01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0e5e01" w:themeColor="accent1" w:themeShade="95"/>
        <w:sz w:val="22"/>
      </w:rPr>
    </w:tblStylePr>
    <w:tblStylePr w:type="firstCol">
      <w:rPr>
        <w:rFonts w:ascii="Arial" w:hAnsi="Arial"/>
        <w:i/>
        <w:color w:val="0e5e0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e5e0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e5e0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378ae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ab3b04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ab3b04" w:themeColor="accent3" w:themeTint="98" w:themeShade="95"/>
        <w:sz w:val="22"/>
      </w:rPr>
    </w:tblStylePr>
    <w:tblStylePr w:type="firstCol">
      <w:rPr>
        <w:rFonts w:ascii="Arial" w:hAnsi="Arial"/>
        <w:i/>
        <w:color w:val="ab3b04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ab3b04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ab3b04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104ab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ba870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ba8700" w:themeColor="accent5" w:themeTint="9A" w:themeShade="95"/>
        <w:sz w:val="22"/>
      </w:rPr>
    </w:tblStylePr>
    <w:tblStylePr w:type="firstCol">
      <w:rPr>
        <w:rFonts w:ascii="Arial" w:hAnsi="Arial"/>
        <w:i/>
        <w:color w:val="ba870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ba870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ba870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ad1a1a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ad1a1a" w:themeColor="accent6" w:themeTint="98" w:themeShade="95"/>
        <w:sz w:val="22"/>
      </w:rPr>
    </w:tblStylePr>
    <w:tblStylePr w:type="firstCol">
      <w:rPr>
        <w:rFonts w:ascii="Arial" w:hAnsi="Arial"/>
        <w:i/>
        <w:color w:val="ad1a1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ad1a1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ad1a1a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59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59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599"/>
    <w:next w:val="59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599"/>
    <w:next w:val="59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599"/>
    <w:next w:val="59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599"/>
    <w:next w:val="59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599"/>
    <w:next w:val="59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599"/>
    <w:next w:val="59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599"/>
    <w:next w:val="59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599"/>
    <w:next w:val="59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599"/>
    <w:next w:val="59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599"/>
    <w:next w:val="599"/>
    <w:uiPriority w:val="99"/>
    <w:unhideWhenUsed/>
    <w:pPr>
      <w:spacing w:after="0" w:afterAutospacing="0"/>
    </w:pPr>
  </w:style>
  <w:style w:type="paragraph" w:styleId="599" w:default="1">
    <w:name w:val="Normal"/>
    <w:qFormat/>
    <w:pPr>
      <w:spacing w:before="0" w:after="200" w:line="276" w:lineRule="auto"/>
      <w:widowControl/>
    </w:pPr>
    <w:rPr>
      <w:rFonts w:ascii="Calibri" w:hAnsi="Calibri" w:eastAsia="Times New Roman" w:cs="Times New Roman"/>
      <w:color w:val="auto"/>
      <w:sz w:val="22"/>
      <w:szCs w:val="22"/>
      <w:lang w:val="ru-RU" w:eastAsia="zh-CN" w:bidi="ar-SA"/>
    </w:rPr>
  </w:style>
  <w:style w:type="character" w:styleId="600">
    <w:name w:val="Основной шрифт абзаца"/>
    <w:qFormat/>
  </w:style>
  <w:style w:type="paragraph" w:styleId="601">
    <w:name w:val="Heading"/>
    <w:basedOn w:val="599"/>
    <w:next w:val="602"/>
    <w:qFormat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602">
    <w:name w:val="Body Text"/>
    <w:basedOn w:val="599"/>
    <w:pPr>
      <w:spacing w:before="0" w:after="140" w:line="276" w:lineRule="auto"/>
    </w:pPr>
  </w:style>
  <w:style w:type="paragraph" w:styleId="603">
    <w:name w:val="List"/>
    <w:basedOn w:val="602"/>
    <w:rPr>
      <w:rFonts w:cs="Lohit Devanagari"/>
    </w:rPr>
  </w:style>
  <w:style w:type="paragraph" w:styleId="604">
    <w:name w:val="Caption"/>
    <w:basedOn w:val="599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605">
    <w:name w:val="Index"/>
    <w:basedOn w:val="599"/>
    <w:qFormat/>
    <w:pPr>
      <w:suppressLineNumbers/>
    </w:pPr>
    <w:rPr>
      <w:rFonts w:cs="Lohit Devanagari"/>
    </w:rPr>
  </w:style>
  <w:style w:type="paragraph" w:styleId="606">
    <w:name w:val="Table Contents"/>
    <w:basedOn w:val="599"/>
    <w:qFormat/>
    <w:pPr>
      <w:widowControl w:val="off"/>
      <w:suppressLineNumbers/>
    </w:pPr>
  </w:style>
  <w:style w:type="paragraph" w:styleId="607">
    <w:name w:val="Table Heading"/>
    <w:basedOn w:val="606"/>
    <w:qFormat/>
    <w:pPr>
      <w:jc w:val="center"/>
      <w:suppressLineNumbers/>
    </w:pPr>
    <w:rPr>
      <w:b/>
      <w:bCs/>
    </w:rPr>
  </w:style>
  <w:style w:type="character" w:styleId="4789" w:default="1">
    <w:name w:val="Default Paragraph Font"/>
    <w:uiPriority w:val="1"/>
    <w:semiHidden/>
    <w:unhideWhenUsed/>
  </w:style>
  <w:style w:type="numbering" w:styleId="4790" w:default="1">
    <w:name w:val="No List"/>
    <w:uiPriority w:val="99"/>
    <w:semiHidden/>
    <w:unhideWhenUsed/>
  </w:style>
  <w:style w:type="table" w:styleId="479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Ананьина Олеся Владимировна</dc:creator>
  <dc:description/>
  <dc:language>en-US</dc:language>
  <cp:revision>3</cp:revision>
  <dcterms:created xsi:type="dcterms:W3CDTF">2026-10-01T02:44:00Z</dcterms:created>
  <dcterms:modified xsi:type="dcterms:W3CDTF">2026-10-01T03:48:01Z</dcterms:modified>
</cp:coreProperties>
</file>